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A7D2F" w14:textId="433A1DA5" w:rsidR="001D5AD2" w:rsidRPr="0023625F" w:rsidRDefault="0023625F" w:rsidP="0023625F">
      <w:pPr>
        <w:pStyle w:val="Heading1"/>
      </w:pPr>
      <w:r w:rsidRPr="0023625F">
        <w:t>Commentary</w:t>
      </w:r>
    </w:p>
    <w:p w14:paraId="2971CF73" w14:textId="77777777" w:rsidR="0023625F" w:rsidRDefault="0023625F" w:rsidP="0023625F">
      <w:pPr>
        <w:pStyle w:val="Heading3"/>
        <w:spacing w:before="360" w:after="120"/>
        <w:rPr>
          <w:rFonts w:ascii="Times" w:hAnsi="Times" w:cs="Times"/>
        </w:rPr>
      </w:pPr>
      <w:r>
        <w:rPr>
          <w:rFonts w:ascii="Times" w:hAnsi="Times" w:cs="Times"/>
        </w:rPr>
        <w:t>Be ready for more earthquakes</w:t>
      </w:r>
    </w:p>
    <w:p w14:paraId="0E302960" w14:textId="77777777" w:rsidR="0023625F" w:rsidRDefault="0023625F" w:rsidP="0023625F">
      <w:pPr>
        <w:numPr>
          <w:ilvl w:val="0"/>
          <w:numId w:val="1"/>
        </w:numPr>
        <w:spacing w:before="100" w:beforeAutospacing="1" w:after="100" w:afterAutospacing="1" w:line="240" w:lineRule="auto"/>
        <w:rPr>
          <w:rFonts w:ascii="Times New Roman" w:hAnsi="Times New Roman" w:cs="Times New Roman"/>
          <w:sz w:val="24"/>
          <w:szCs w:val="24"/>
        </w:rPr>
      </w:pPr>
      <w:r>
        <w:t>More earthquakes than usual (called aftershocks) will continue to occur near the mainshock.</w:t>
      </w:r>
    </w:p>
    <w:p w14:paraId="68AFFCFF" w14:textId="77777777" w:rsidR="0023625F" w:rsidRDefault="0023625F" w:rsidP="0023625F">
      <w:pPr>
        <w:numPr>
          <w:ilvl w:val="0"/>
          <w:numId w:val="1"/>
        </w:numPr>
        <w:spacing w:before="100" w:beforeAutospacing="1" w:after="100" w:afterAutospacing="1" w:line="240" w:lineRule="auto"/>
      </w:pPr>
      <w:r>
        <w:t>When there are more earthquakes, the chance of a large earthquake is greater which means that the chance of damage is greater.</w:t>
      </w:r>
    </w:p>
    <w:p w14:paraId="4289BA86" w14:textId="77777777" w:rsidR="0023625F" w:rsidRDefault="0023625F" w:rsidP="0023625F">
      <w:pPr>
        <w:numPr>
          <w:ilvl w:val="0"/>
          <w:numId w:val="1"/>
        </w:numPr>
        <w:spacing w:before="100" w:beforeAutospacing="1" w:after="100" w:afterAutospacing="1" w:line="240" w:lineRule="auto"/>
      </w:pPr>
      <w:r>
        <w:t>The USGS advises everyone to be aware of the possibility of aftershocks, especially when in or around vulnerable structures such as unreinforced masonry buildings.</w:t>
      </w:r>
    </w:p>
    <w:p w14:paraId="38C57222" w14:textId="77777777" w:rsidR="0023625F" w:rsidRDefault="0023625F" w:rsidP="0023625F">
      <w:pPr>
        <w:pStyle w:val="ng-star-inserted"/>
        <w:numPr>
          <w:ilvl w:val="0"/>
          <w:numId w:val="1"/>
        </w:numPr>
      </w:pPr>
      <w:r>
        <w:t>This earthquake could be part of a sequence. An earthquake sequence may have larger and potentially damaging earthquakes in the future, so remember to: Drop, Cover, and Hold on.</w:t>
      </w:r>
    </w:p>
    <w:p w14:paraId="09B858D3" w14:textId="77777777" w:rsidR="0023625F" w:rsidRDefault="0023625F" w:rsidP="0023625F">
      <w:pPr>
        <w:pStyle w:val="Heading3"/>
        <w:spacing w:before="360" w:after="120"/>
        <w:rPr>
          <w:rFonts w:ascii="Times" w:hAnsi="Times" w:cs="Times"/>
        </w:rPr>
      </w:pPr>
      <w:r>
        <w:rPr>
          <w:rFonts w:ascii="Times" w:hAnsi="Times" w:cs="Times"/>
        </w:rPr>
        <w:t>What we think will happen next</w:t>
      </w:r>
    </w:p>
    <w:p w14:paraId="00343B4C" w14:textId="77777777" w:rsidR="0023625F" w:rsidRDefault="0023625F" w:rsidP="0023625F">
      <w:pPr>
        <w:pStyle w:val="ng-star-inserted"/>
        <w:spacing w:before="240" w:beforeAutospacing="0" w:after="240" w:afterAutospacing="0"/>
      </w:pPr>
      <w:r>
        <w:t>According to our forecast, over the next 1 Week there is a 4 % chance of one or more aftershocks that are larger than magnitude 7.1. It is likely that there will be smaller earthquakes over the next 1 Week, with 360 to 660 magnitude 3 or higher aftershocks. Magnitude 3 and above are large enough to be felt near the epicenter. The number of aftershocks will drop off over time, but a large aftershock can increase the numbers again, temporarily.</w:t>
      </w:r>
    </w:p>
    <w:p w14:paraId="6ED37F44" w14:textId="77777777" w:rsidR="0023625F" w:rsidRDefault="0023625F" w:rsidP="0023625F">
      <w:pPr>
        <w:pStyle w:val="ng-star-inserted"/>
        <w:spacing w:before="240" w:beforeAutospacing="0" w:after="240" w:afterAutospacing="0"/>
      </w:pPr>
      <w:r>
        <w:t>More details about the earthquake forecast are provided in the section “Our detailed aftershock forecast” below.</w:t>
      </w:r>
    </w:p>
    <w:p w14:paraId="42C6376F" w14:textId="77777777" w:rsidR="0023625F" w:rsidRDefault="0023625F" w:rsidP="0023625F">
      <w:pPr>
        <w:pStyle w:val="Heading3"/>
        <w:spacing w:before="360" w:after="120"/>
        <w:rPr>
          <w:rFonts w:ascii="Times" w:hAnsi="Times" w:cs="Times"/>
        </w:rPr>
      </w:pPr>
      <w:r>
        <w:rPr>
          <w:rFonts w:ascii="Times" w:hAnsi="Times" w:cs="Times"/>
        </w:rPr>
        <w:t>About this earthquake and related aftershocks</w:t>
      </w:r>
    </w:p>
    <w:p w14:paraId="49497C8F" w14:textId="77777777" w:rsidR="0023625F" w:rsidRDefault="0023625F" w:rsidP="0023625F">
      <w:pPr>
        <w:pStyle w:val="ng-star-inserted"/>
        <w:spacing w:before="240" w:beforeAutospacing="0" w:after="240" w:afterAutospacing="0"/>
      </w:pPr>
      <w:r>
        <w:t>This forecast is based on preliminary data and may change as the catalog of earthquakes is updated and improved. It will also be changed as new earthquakes occur and time passes.</w:t>
      </w:r>
    </w:p>
    <w:p w14:paraId="233C4E9F" w14:textId="77777777" w:rsidR="0023625F" w:rsidRDefault="0023625F" w:rsidP="0023625F">
      <w:pPr>
        <w:pStyle w:val="ng-star-inserted"/>
        <w:spacing w:before="240" w:beforeAutospacing="0" w:after="240" w:afterAutospacing="0"/>
      </w:pPr>
      <w:r>
        <w:t>So far in this sequence there have been 136 magnitude 3 or higher earthquakes, which are strong enough to be felt, and 4 magnitude 5 or higher earthquakes, which are large enough to do damage.</w:t>
      </w:r>
    </w:p>
    <w:p w14:paraId="5BA0E6FA" w14:textId="77777777" w:rsidR="0023625F" w:rsidRDefault="0023625F" w:rsidP="0023625F">
      <w:pPr>
        <w:pStyle w:val="Heading3"/>
        <w:spacing w:before="360" w:after="120"/>
        <w:rPr>
          <w:rFonts w:ascii="Times" w:hAnsi="Times" w:cs="Times"/>
        </w:rPr>
      </w:pPr>
      <w:r>
        <w:rPr>
          <w:rFonts w:ascii="Times" w:hAnsi="Times" w:cs="Times"/>
        </w:rPr>
        <w:t>Our detailed aftershock forecast</w:t>
      </w:r>
    </w:p>
    <w:p w14:paraId="46C9EE05" w14:textId="77777777" w:rsidR="0023625F" w:rsidRDefault="0023625F" w:rsidP="0023625F">
      <w:pPr>
        <w:pStyle w:val="ng-star-inserted"/>
        <w:spacing w:before="240" w:beforeAutospacing="0" w:after="240" w:afterAutospacing="0"/>
      </w:pPr>
      <w:r>
        <w:t>The USGS estimates the chance of more aftershocks as follows: Within the next 1 Week until 2019-07-13 07:40:00 (UTC):</w:t>
      </w:r>
    </w:p>
    <w:p w14:paraId="4BBD108E" w14:textId="77777777" w:rsidR="0023625F" w:rsidRDefault="0023625F" w:rsidP="0023625F">
      <w:pPr>
        <w:pStyle w:val="ng-star-inserted"/>
        <w:numPr>
          <w:ilvl w:val="0"/>
          <w:numId w:val="2"/>
        </w:numPr>
      </w:pPr>
      <w:r>
        <w:t>The chance of an earthquake of magnitude 3 or higher is &gt; 99 %, and it is most likely that as few as 360 or as many as 660 such earthquakes may occur in the case that the sequence is re-invigorated by a larger aftershock.</w:t>
      </w:r>
    </w:p>
    <w:p w14:paraId="2F30F027" w14:textId="77777777" w:rsidR="0023625F" w:rsidRDefault="0023625F" w:rsidP="0023625F">
      <w:pPr>
        <w:pStyle w:val="ng-star-inserted"/>
        <w:numPr>
          <w:ilvl w:val="0"/>
          <w:numId w:val="2"/>
        </w:numPr>
      </w:pPr>
      <w:r>
        <w:t>The chance of an earthquake of magnitude 5 or higher is &gt; 99 %, and it is most likely that as few as 0 or as many as 11 such earthquakes may occur.</w:t>
      </w:r>
    </w:p>
    <w:p w14:paraId="0379D679" w14:textId="77777777" w:rsidR="0023625F" w:rsidRDefault="0023625F" w:rsidP="0023625F">
      <w:pPr>
        <w:pStyle w:val="ng-star-inserted"/>
        <w:numPr>
          <w:ilvl w:val="0"/>
          <w:numId w:val="2"/>
        </w:numPr>
      </w:pPr>
      <w:r>
        <w:t>The chance of an earthquake of magnitude 6 or higher is 39 %, and it is most likely that as few as 0 or as many as 3 such earthquakes may occur.</w:t>
      </w:r>
    </w:p>
    <w:p w14:paraId="74258C50" w14:textId="77777777" w:rsidR="0023625F" w:rsidRDefault="0023625F" w:rsidP="0023625F">
      <w:pPr>
        <w:pStyle w:val="ng-star-inserted"/>
        <w:numPr>
          <w:ilvl w:val="0"/>
          <w:numId w:val="2"/>
        </w:numPr>
      </w:pPr>
      <w:r>
        <w:lastRenderedPageBreak/>
        <w:t>The chance of an earthquake of magnitude 7 or higher is 5 %, such an earthquake is possible but with a low probability.</w:t>
      </w:r>
    </w:p>
    <w:p w14:paraId="5F84C748" w14:textId="77777777" w:rsidR="0023625F" w:rsidRDefault="0023625F" w:rsidP="0023625F">
      <w:pPr>
        <w:pStyle w:val="Heading3"/>
        <w:spacing w:before="360" w:after="120"/>
        <w:rPr>
          <w:rFonts w:ascii="Times" w:hAnsi="Times" w:cs="Times"/>
        </w:rPr>
      </w:pPr>
      <w:r>
        <w:rPr>
          <w:rFonts w:ascii="Times" w:hAnsi="Times" w:cs="Times"/>
        </w:rPr>
        <w:t>About our earthquake forecasts</w:t>
      </w:r>
    </w:p>
    <w:p w14:paraId="03DDF67E" w14:textId="77777777" w:rsidR="0023625F" w:rsidRDefault="0023625F" w:rsidP="0023625F">
      <w:pPr>
        <w:pStyle w:val="ng-star-inserted"/>
        <w:spacing w:before="240" w:beforeAutospacing="0" w:after="240" w:afterAutospacing="0"/>
      </w:pPr>
      <w:r>
        <w:t xml:space="preserve">No one can predict the exact time or place of any earthquake, including aftershocks. Our earthquake forecasts give us an understanding of the chances of having more earthquakes within a given </w:t>
      </w:r>
      <w:proofErr w:type="gramStart"/>
      <w:r>
        <w:t>time period</w:t>
      </w:r>
      <w:proofErr w:type="gramEnd"/>
      <w:r>
        <w:t xml:space="preserve"> in the affected area. We calculate this earthquake forecast using a statistical analysis based on past earthquakes.</w:t>
      </w:r>
    </w:p>
    <w:p w14:paraId="7545F15F" w14:textId="77777777" w:rsidR="0023625F" w:rsidRDefault="0023625F" w:rsidP="0023625F">
      <w:pPr>
        <w:pStyle w:val="ng-star-inserted"/>
        <w:spacing w:before="240" w:beforeAutospacing="0" w:after="240" w:afterAutospacing="0"/>
      </w:pPr>
      <w:r>
        <w:t>Our forecast changes as time passes due to decline in the frequency of aftershocks, larger aftershocks that may trigger further earthquakes, and changes in forecast modeling based on the data collected for this earthquake sequence.</w:t>
      </w:r>
    </w:p>
    <w:p w14:paraId="1749D328" w14:textId="77777777" w:rsidR="0023625F" w:rsidRDefault="0023625F" w:rsidP="0023625F">
      <w:pPr>
        <w:pStyle w:val="footnote"/>
        <w:spacing w:before="240" w:beforeAutospacing="0" w:after="240" w:afterAutospacing="0"/>
        <w:rPr>
          <w:i/>
          <w:iCs/>
          <w:color w:val="777777"/>
        </w:rPr>
      </w:pPr>
      <w:r>
        <w:rPr>
          <w:i/>
          <w:iCs/>
          <w:color w:val="777777"/>
        </w:rPr>
        <w:t>This forecast was issued: 2019-07-06 07:36:05 (UTC)</w:t>
      </w:r>
    </w:p>
    <w:p w14:paraId="063672F0" w14:textId="77777777" w:rsidR="0023625F" w:rsidRDefault="0023625F" w:rsidP="0023625F">
      <w:pPr>
        <w:pStyle w:val="footnote"/>
        <w:spacing w:before="240" w:beforeAutospacing="0" w:after="240" w:afterAutospacing="0"/>
        <w:rPr>
          <w:i/>
          <w:iCs/>
          <w:color w:val="777777"/>
        </w:rPr>
      </w:pPr>
      <w:r>
        <w:rPr>
          <w:i/>
          <w:iCs/>
          <w:color w:val="777777"/>
        </w:rPr>
        <w:t>This forecast will be updated on or before 2019-07-13 07:36:05 (UTC)</w:t>
      </w:r>
    </w:p>
    <w:p w14:paraId="71E406A6" w14:textId="77777777" w:rsidR="0023625F" w:rsidRDefault="0023625F" w:rsidP="0023625F">
      <w:pPr>
        <w:pStyle w:val="Heading3"/>
        <w:spacing w:before="0"/>
        <w:rPr>
          <w:rFonts w:ascii="Times" w:hAnsi="Times" w:cs="Times"/>
          <w:color w:val="auto"/>
        </w:rPr>
      </w:pPr>
      <w:r>
        <w:rPr>
          <w:rFonts w:ascii="Times" w:hAnsi="Times" w:cs="Times"/>
        </w:rPr>
        <w:t>Downloads</w:t>
      </w:r>
    </w:p>
    <w:p w14:paraId="2790087A" w14:textId="5BA1F960" w:rsidR="0023625F" w:rsidRDefault="0023625F"/>
    <w:p w14:paraId="6FE8B588" w14:textId="3BC7E88E" w:rsidR="0023625F" w:rsidRDefault="0023625F" w:rsidP="0023625F">
      <w:pPr>
        <w:pStyle w:val="Heading1"/>
      </w:pPr>
      <w:r>
        <w:t>Forecast</w:t>
      </w:r>
    </w:p>
    <w:p w14:paraId="7CCF22D4" w14:textId="77777777" w:rsidR="0023625F" w:rsidRDefault="0023625F" w:rsidP="0023625F">
      <w:pPr>
        <w:pStyle w:val="ng-star-inserted"/>
        <w:spacing w:before="240" w:beforeAutospacing="0" w:after="240" w:afterAutospacing="0"/>
        <w:rPr>
          <w:rFonts w:ascii="Source Sans Pro" w:hAnsi="Source Sans Pro"/>
          <w:color w:val="333333"/>
          <w:sz w:val="26"/>
          <w:szCs w:val="26"/>
        </w:rPr>
      </w:pPr>
      <w:r>
        <w:rPr>
          <w:rFonts w:ascii="Source Sans Pro" w:hAnsi="Source Sans Pro"/>
          <w:color w:val="333333"/>
          <w:sz w:val="26"/>
          <w:szCs w:val="26"/>
        </w:rPr>
        <w:t xml:space="preserve">Note: The expected rate of earthquakes continues to decline throughout the time windows. The probabilities in the longer time windows are higher only because the rates are being summed over a longer </w:t>
      </w:r>
      <w:proofErr w:type="gramStart"/>
      <w:r>
        <w:rPr>
          <w:rFonts w:ascii="Source Sans Pro" w:hAnsi="Source Sans Pro"/>
          <w:color w:val="333333"/>
          <w:sz w:val="26"/>
          <w:szCs w:val="26"/>
        </w:rPr>
        <w:t>time period</w:t>
      </w:r>
      <w:proofErr w:type="gramEnd"/>
      <w:r>
        <w:rPr>
          <w:rFonts w:ascii="Source Sans Pro" w:hAnsi="Source Sans Pro"/>
          <w:color w:val="333333"/>
          <w:sz w:val="26"/>
          <w:szCs w:val="26"/>
        </w:rPr>
        <w:t xml:space="preserve">. These longer periods may be useful when planning recovery and </w:t>
      </w:r>
      <w:proofErr w:type="spellStart"/>
      <w:r>
        <w:rPr>
          <w:rFonts w:ascii="Source Sans Pro" w:hAnsi="Source Sans Pro"/>
          <w:color w:val="333333"/>
          <w:sz w:val="26"/>
          <w:szCs w:val="26"/>
        </w:rPr>
        <w:t>rebuliding</w:t>
      </w:r>
      <w:proofErr w:type="spellEnd"/>
      <w:r>
        <w:rPr>
          <w:rFonts w:ascii="Source Sans Pro" w:hAnsi="Source Sans Pro"/>
          <w:color w:val="333333"/>
          <w:sz w:val="26"/>
          <w:szCs w:val="26"/>
        </w:rPr>
        <w:t xml:space="preserve"> projects.</w:t>
      </w:r>
    </w:p>
    <w:p w14:paraId="317810FC" w14:textId="77777777" w:rsidR="0023625F" w:rsidRDefault="0023625F" w:rsidP="0023625F">
      <w:pPr>
        <w:pStyle w:val="Heading3"/>
        <w:spacing w:before="360" w:after="120"/>
        <w:rPr>
          <w:rFonts w:ascii="Times" w:hAnsi="Times" w:cs="Times"/>
          <w:color w:val="333333"/>
        </w:rPr>
      </w:pPr>
      <w:r>
        <w:rPr>
          <w:rFonts w:ascii="Times" w:hAnsi="Times" w:cs="Times"/>
          <w:color w:val="333333"/>
        </w:rPr>
        <w:t>The probability of at least one aftershock of at least magnitude M within the given time frame. Forecast starting 2019-07-06 07:40:00 (UTC)</w:t>
      </w:r>
    </w:p>
    <w:p w14:paraId="663051A9" w14:textId="77777777" w:rsidR="0023625F" w:rsidRDefault="0023625F" w:rsidP="0023625F">
      <w:pPr>
        <w:rPr>
          <w:rFonts w:ascii="Times New Roman" w:hAnsi="Times New Roman" w:cs="Times New Roman"/>
          <w:sz w:val="24"/>
          <w:szCs w:val="24"/>
        </w:rPr>
      </w:pPr>
      <w:r>
        <w:t xml:space="preserve">1 Day1 Week1 Month1 </w:t>
      </w:r>
      <w:proofErr w:type="spellStart"/>
      <w:r>
        <w:t>YearM</w:t>
      </w:r>
      <w:proofErr w:type="spellEnd"/>
      <w:r>
        <w:t xml:space="preserve"> ≥ 3&gt; 99 %&gt; 99 %&gt; 99 %&gt; 99 %M ≥ 590 %&gt; 99 %&gt; 99 %&gt; 99 %M ≥ 621 %39 %52 %69 %M ≥ 72 %5 %7 %11 %</w:t>
      </w:r>
    </w:p>
    <w:p w14:paraId="66B9B07C" w14:textId="77777777" w:rsidR="0023625F" w:rsidRDefault="0023625F" w:rsidP="0023625F">
      <w:pPr>
        <w:pStyle w:val="Heading3"/>
        <w:spacing w:before="360" w:after="120"/>
        <w:rPr>
          <w:rFonts w:ascii="Times" w:hAnsi="Times" w:cs="Times"/>
          <w:color w:val="333333"/>
        </w:rPr>
      </w:pPr>
      <w:r>
        <w:rPr>
          <w:rFonts w:ascii="Times" w:hAnsi="Times" w:cs="Times"/>
          <w:color w:val="333333"/>
        </w:rPr>
        <w:t>The likely number of aftershocks of at least magnitude M within the given time frame. Forecast starting 2019-07-06 07:40:00 (UTC)</w:t>
      </w:r>
    </w:p>
    <w:p w14:paraId="7CB47B0E" w14:textId="77777777" w:rsidR="0023625F" w:rsidRDefault="0023625F" w:rsidP="0023625F">
      <w:pPr>
        <w:rPr>
          <w:rFonts w:ascii="Times New Roman" w:hAnsi="Times New Roman" w:cs="Times New Roman"/>
          <w:sz w:val="24"/>
          <w:szCs w:val="24"/>
        </w:rPr>
      </w:pPr>
      <w:r>
        <w:t xml:space="preserve">1 Day1 Week1 Month1 </w:t>
      </w:r>
      <w:proofErr w:type="spellStart"/>
      <w:r>
        <w:t>YearM</w:t>
      </w:r>
      <w:proofErr w:type="spellEnd"/>
      <w:r>
        <w:t xml:space="preserve"> ≥ 3160 to 320360 to 660530 to 960870 to 1,600M ≥ 50 to 60 to 113 to 146 to 21M ≥ 60 to 20 to 30 to 30 to 4M ≥ 7**0 to 20 to 2</w:t>
      </w:r>
    </w:p>
    <w:p w14:paraId="7F3171AA" w14:textId="32E1CB83" w:rsidR="0023625F" w:rsidRDefault="0023625F" w:rsidP="0023625F">
      <w:r>
        <w:rPr>
          <w:rFonts w:ascii="Source Sans Pro" w:hAnsi="Source Sans Pro"/>
          <w:color w:val="333333"/>
          <w:sz w:val="20"/>
          <w:szCs w:val="20"/>
        </w:rPr>
        <w:t>* Earthquake possible but with a low probability.</w:t>
      </w:r>
      <w:r>
        <w:rPr>
          <w:rFonts w:ascii="Source Sans Pro" w:hAnsi="Source Sans Pro"/>
          <w:color w:val="333333"/>
          <w:sz w:val="20"/>
          <w:szCs w:val="20"/>
        </w:rPr>
        <w:br/>
        <w:t>Likely number of aftershocks is the 95% confidence range.</w:t>
      </w:r>
    </w:p>
    <w:p w14:paraId="5A0A4C6D" w14:textId="447ED9D3" w:rsidR="0023625F" w:rsidRDefault="0023625F" w:rsidP="0023625F">
      <w:pPr>
        <w:pStyle w:val="Heading1"/>
      </w:pPr>
      <w:r>
        <w:t>Model</w:t>
      </w:r>
    </w:p>
    <w:p w14:paraId="50CABE3A" w14:textId="77777777" w:rsidR="0023625F" w:rsidRDefault="0023625F" w:rsidP="0023625F">
      <w:pPr>
        <w:pStyle w:val="Heading3"/>
        <w:spacing w:before="360" w:after="120"/>
        <w:rPr>
          <w:rFonts w:ascii="Times" w:hAnsi="Times" w:cs="Times"/>
          <w:color w:val="333333"/>
        </w:rPr>
      </w:pPr>
      <w:proofErr w:type="spellStart"/>
      <w:r>
        <w:rPr>
          <w:rFonts w:ascii="Times" w:hAnsi="Times" w:cs="Times"/>
          <w:color w:val="333333"/>
        </w:rPr>
        <w:lastRenderedPageBreak/>
        <w:t>Reasenberg</w:t>
      </w:r>
      <w:proofErr w:type="spellEnd"/>
      <w:r>
        <w:rPr>
          <w:rFonts w:ascii="Times" w:hAnsi="Times" w:cs="Times"/>
          <w:color w:val="333333"/>
        </w:rPr>
        <w:t>-Jones (1989, 1994) aftershock model (Bayesian Combination)</w:t>
      </w:r>
    </w:p>
    <w:p w14:paraId="0CF0A631" w14:textId="77777777" w:rsidR="0023625F" w:rsidRDefault="0023625F" w:rsidP="0023625F">
      <w:pPr>
        <w:pStyle w:val="Heading4"/>
        <w:spacing w:before="360" w:after="120"/>
        <w:rPr>
          <w:rFonts w:ascii="Times" w:hAnsi="Times" w:cs="Times"/>
          <w:color w:val="333333"/>
          <w:sz w:val="21"/>
          <w:szCs w:val="21"/>
        </w:rPr>
      </w:pPr>
      <w:r>
        <w:rPr>
          <w:rFonts w:ascii="Times" w:hAnsi="Times" w:cs="Times"/>
          <w:color w:val="333333"/>
          <w:sz w:val="21"/>
          <w:szCs w:val="21"/>
        </w:rPr>
        <w:t>Parameters</w:t>
      </w:r>
    </w:p>
    <w:p w14:paraId="07246797" w14:textId="77777777" w:rsidR="0023625F" w:rsidRDefault="0023625F" w:rsidP="0023625F">
      <w:pPr>
        <w:textAlignment w:val="center"/>
        <w:rPr>
          <w:rFonts w:ascii="Helvetica" w:hAnsi="Helvetica" w:cs="Helvetica"/>
          <w:color w:val="333333"/>
          <w:sz w:val="18"/>
          <w:szCs w:val="18"/>
        </w:rPr>
      </w:pPr>
      <w:r>
        <w:rPr>
          <w:rFonts w:ascii="Helvetica" w:hAnsi="Helvetica" w:cs="Helvetica"/>
          <w:color w:val="333333"/>
          <w:sz w:val="18"/>
          <w:szCs w:val="18"/>
        </w:rPr>
        <w:t>a</w:t>
      </w:r>
    </w:p>
    <w:p w14:paraId="1AA6D1C4" w14:textId="77777777" w:rsidR="0023625F" w:rsidRDefault="0023625F" w:rsidP="0023625F">
      <w:pPr>
        <w:ind w:left="720"/>
        <w:textAlignment w:val="center"/>
        <w:rPr>
          <w:rFonts w:ascii="Helvetica" w:hAnsi="Helvetica" w:cs="Helvetica"/>
          <w:color w:val="333333"/>
          <w:sz w:val="21"/>
          <w:szCs w:val="21"/>
        </w:rPr>
      </w:pPr>
      <w:r>
        <w:rPr>
          <w:rFonts w:ascii="Helvetica" w:hAnsi="Helvetica" w:cs="Helvetica"/>
          <w:color w:val="333333"/>
          <w:sz w:val="21"/>
          <w:szCs w:val="21"/>
        </w:rPr>
        <w:t>-1.96</w:t>
      </w:r>
    </w:p>
    <w:p w14:paraId="0CCA11BD" w14:textId="77777777" w:rsidR="0023625F" w:rsidRDefault="0023625F" w:rsidP="0023625F">
      <w:pPr>
        <w:textAlignment w:val="center"/>
        <w:rPr>
          <w:rFonts w:ascii="Helvetica" w:hAnsi="Helvetica" w:cs="Helvetica"/>
          <w:color w:val="333333"/>
          <w:sz w:val="18"/>
          <w:szCs w:val="18"/>
        </w:rPr>
      </w:pPr>
      <w:r>
        <w:rPr>
          <w:rFonts w:ascii="Helvetica" w:hAnsi="Helvetica" w:cs="Helvetica"/>
          <w:color w:val="333333"/>
          <w:sz w:val="18"/>
          <w:szCs w:val="18"/>
        </w:rPr>
        <w:t>b</w:t>
      </w:r>
    </w:p>
    <w:p w14:paraId="3F1748B7" w14:textId="77777777" w:rsidR="0023625F" w:rsidRDefault="0023625F" w:rsidP="0023625F">
      <w:pPr>
        <w:ind w:left="720"/>
        <w:textAlignment w:val="center"/>
        <w:rPr>
          <w:rFonts w:ascii="Helvetica" w:hAnsi="Helvetica" w:cs="Helvetica"/>
          <w:color w:val="333333"/>
          <w:sz w:val="21"/>
          <w:szCs w:val="21"/>
        </w:rPr>
      </w:pPr>
      <w:r>
        <w:rPr>
          <w:rFonts w:ascii="Helvetica" w:hAnsi="Helvetica" w:cs="Helvetica"/>
          <w:color w:val="333333"/>
          <w:sz w:val="21"/>
          <w:szCs w:val="21"/>
        </w:rPr>
        <w:t>1</w:t>
      </w:r>
    </w:p>
    <w:p w14:paraId="7B4D7223" w14:textId="77777777" w:rsidR="0023625F" w:rsidRDefault="0023625F" w:rsidP="0023625F">
      <w:pPr>
        <w:textAlignment w:val="center"/>
        <w:rPr>
          <w:rFonts w:ascii="Helvetica" w:hAnsi="Helvetica" w:cs="Helvetica"/>
          <w:color w:val="333333"/>
          <w:sz w:val="18"/>
          <w:szCs w:val="18"/>
        </w:rPr>
      </w:pPr>
      <w:proofErr w:type="spellStart"/>
      <w:r>
        <w:rPr>
          <w:rFonts w:ascii="Helvetica" w:hAnsi="Helvetica" w:cs="Helvetica"/>
          <w:color w:val="333333"/>
          <w:sz w:val="18"/>
          <w:szCs w:val="18"/>
        </w:rPr>
        <w:t>magMain</w:t>
      </w:r>
      <w:proofErr w:type="spellEnd"/>
    </w:p>
    <w:p w14:paraId="6520AADD" w14:textId="77777777" w:rsidR="0023625F" w:rsidRDefault="0023625F" w:rsidP="0023625F">
      <w:pPr>
        <w:ind w:left="720"/>
        <w:textAlignment w:val="center"/>
        <w:rPr>
          <w:rFonts w:ascii="Helvetica" w:hAnsi="Helvetica" w:cs="Helvetica"/>
          <w:color w:val="333333"/>
          <w:sz w:val="21"/>
          <w:szCs w:val="21"/>
        </w:rPr>
      </w:pPr>
      <w:r>
        <w:rPr>
          <w:rFonts w:ascii="Helvetica" w:hAnsi="Helvetica" w:cs="Helvetica"/>
          <w:color w:val="333333"/>
          <w:sz w:val="21"/>
          <w:szCs w:val="21"/>
        </w:rPr>
        <w:t>7.1</w:t>
      </w:r>
    </w:p>
    <w:p w14:paraId="3147CDC2" w14:textId="77777777" w:rsidR="0023625F" w:rsidRDefault="0023625F" w:rsidP="0023625F">
      <w:pPr>
        <w:textAlignment w:val="center"/>
        <w:rPr>
          <w:rFonts w:ascii="Helvetica" w:hAnsi="Helvetica" w:cs="Helvetica"/>
          <w:color w:val="333333"/>
          <w:sz w:val="18"/>
          <w:szCs w:val="18"/>
        </w:rPr>
      </w:pPr>
      <w:r>
        <w:rPr>
          <w:rFonts w:ascii="Helvetica" w:hAnsi="Helvetica" w:cs="Helvetica"/>
          <w:color w:val="333333"/>
          <w:sz w:val="18"/>
          <w:szCs w:val="18"/>
        </w:rPr>
        <w:t>p</w:t>
      </w:r>
    </w:p>
    <w:p w14:paraId="2AAD4D6A" w14:textId="77777777" w:rsidR="0023625F" w:rsidRDefault="0023625F" w:rsidP="0023625F">
      <w:pPr>
        <w:ind w:left="720"/>
        <w:textAlignment w:val="center"/>
        <w:rPr>
          <w:rFonts w:ascii="Helvetica" w:hAnsi="Helvetica" w:cs="Helvetica"/>
          <w:color w:val="333333"/>
          <w:sz w:val="21"/>
          <w:szCs w:val="21"/>
        </w:rPr>
      </w:pPr>
      <w:r>
        <w:rPr>
          <w:rFonts w:ascii="Helvetica" w:hAnsi="Helvetica" w:cs="Helvetica"/>
          <w:color w:val="333333"/>
          <w:sz w:val="21"/>
          <w:szCs w:val="21"/>
        </w:rPr>
        <w:t>0.94</w:t>
      </w:r>
    </w:p>
    <w:p w14:paraId="557FAF5A" w14:textId="77777777" w:rsidR="0023625F" w:rsidRDefault="0023625F" w:rsidP="0023625F">
      <w:pPr>
        <w:textAlignment w:val="center"/>
        <w:rPr>
          <w:rFonts w:ascii="Helvetica" w:hAnsi="Helvetica" w:cs="Helvetica"/>
          <w:color w:val="333333"/>
          <w:sz w:val="18"/>
          <w:szCs w:val="18"/>
        </w:rPr>
      </w:pPr>
      <w:r>
        <w:rPr>
          <w:rFonts w:ascii="Helvetica" w:hAnsi="Helvetica" w:cs="Helvetica"/>
          <w:color w:val="333333"/>
          <w:sz w:val="18"/>
          <w:szCs w:val="18"/>
        </w:rPr>
        <w:t>c</w:t>
      </w:r>
    </w:p>
    <w:p w14:paraId="1E76F35A" w14:textId="77777777" w:rsidR="0023625F" w:rsidRDefault="0023625F" w:rsidP="0023625F">
      <w:pPr>
        <w:ind w:left="720"/>
        <w:textAlignment w:val="center"/>
        <w:rPr>
          <w:rFonts w:ascii="Helvetica" w:hAnsi="Helvetica" w:cs="Helvetica"/>
          <w:color w:val="333333"/>
          <w:sz w:val="21"/>
          <w:szCs w:val="21"/>
        </w:rPr>
      </w:pPr>
      <w:r>
        <w:rPr>
          <w:rFonts w:ascii="Helvetica" w:hAnsi="Helvetica" w:cs="Helvetica"/>
          <w:color w:val="333333"/>
          <w:sz w:val="21"/>
          <w:szCs w:val="21"/>
        </w:rPr>
        <w:t>0.026</w:t>
      </w:r>
    </w:p>
    <w:p w14:paraId="54628D80" w14:textId="77777777" w:rsidR="0023625F" w:rsidRDefault="0023625F" w:rsidP="0023625F">
      <w:pPr>
        <w:textAlignment w:val="center"/>
        <w:rPr>
          <w:rFonts w:ascii="Helvetica" w:hAnsi="Helvetica" w:cs="Helvetica"/>
          <w:color w:val="333333"/>
          <w:sz w:val="18"/>
          <w:szCs w:val="18"/>
        </w:rPr>
      </w:pPr>
      <w:proofErr w:type="spellStart"/>
      <w:r>
        <w:rPr>
          <w:rFonts w:ascii="Helvetica" w:hAnsi="Helvetica" w:cs="Helvetica"/>
          <w:color w:val="333333"/>
          <w:sz w:val="18"/>
          <w:szCs w:val="18"/>
        </w:rPr>
        <w:t>aSigma</w:t>
      </w:r>
      <w:proofErr w:type="spellEnd"/>
    </w:p>
    <w:p w14:paraId="63DB3E1E" w14:textId="77777777" w:rsidR="0023625F" w:rsidRDefault="0023625F" w:rsidP="0023625F">
      <w:pPr>
        <w:ind w:left="720"/>
        <w:textAlignment w:val="center"/>
        <w:rPr>
          <w:rFonts w:ascii="Helvetica" w:hAnsi="Helvetica" w:cs="Helvetica"/>
          <w:color w:val="333333"/>
          <w:sz w:val="21"/>
          <w:szCs w:val="21"/>
        </w:rPr>
      </w:pPr>
      <w:r>
        <w:rPr>
          <w:rFonts w:ascii="Helvetica" w:hAnsi="Helvetica" w:cs="Helvetica"/>
          <w:color w:val="333333"/>
          <w:sz w:val="21"/>
          <w:szCs w:val="21"/>
        </w:rPr>
        <w:t>0.06161350524347566</w:t>
      </w:r>
    </w:p>
    <w:p w14:paraId="6CEADDD6" w14:textId="77777777" w:rsidR="0023625F" w:rsidRDefault="0023625F" w:rsidP="0023625F">
      <w:pPr>
        <w:textAlignment w:val="center"/>
        <w:rPr>
          <w:rFonts w:ascii="Helvetica" w:hAnsi="Helvetica" w:cs="Helvetica"/>
          <w:color w:val="333333"/>
          <w:sz w:val="18"/>
          <w:szCs w:val="18"/>
        </w:rPr>
      </w:pPr>
      <w:proofErr w:type="spellStart"/>
      <w:r>
        <w:rPr>
          <w:rFonts w:ascii="Helvetica" w:hAnsi="Helvetica" w:cs="Helvetica"/>
          <w:color w:val="333333"/>
          <w:sz w:val="18"/>
          <w:szCs w:val="18"/>
        </w:rPr>
        <w:t>pSigma</w:t>
      </w:r>
      <w:proofErr w:type="spellEnd"/>
    </w:p>
    <w:p w14:paraId="094D4BE3" w14:textId="77777777" w:rsidR="0023625F" w:rsidRDefault="0023625F" w:rsidP="0023625F">
      <w:pPr>
        <w:ind w:left="720"/>
        <w:textAlignment w:val="center"/>
        <w:rPr>
          <w:rFonts w:ascii="Helvetica" w:hAnsi="Helvetica" w:cs="Helvetica"/>
          <w:color w:val="333333"/>
          <w:sz w:val="21"/>
          <w:szCs w:val="21"/>
        </w:rPr>
      </w:pPr>
      <w:r>
        <w:rPr>
          <w:rFonts w:ascii="Helvetica" w:hAnsi="Helvetica" w:cs="Helvetica"/>
          <w:color w:val="333333"/>
          <w:sz w:val="21"/>
          <w:szCs w:val="21"/>
        </w:rPr>
        <w:t>0</w:t>
      </w:r>
    </w:p>
    <w:p w14:paraId="51773B6F" w14:textId="1B492B25" w:rsidR="0023625F" w:rsidRDefault="0023625F" w:rsidP="0023625F">
      <w:bookmarkStart w:id="0" w:name="_GoBack"/>
      <w:bookmarkEnd w:id="0"/>
    </w:p>
    <w:p w14:paraId="6108FA03" w14:textId="306C418C" w:rsidR="0023625F" w:rsidRDefault="0023625F" w:rsidP="0023625F"/>
    <w:p w14:paraId="441B6662" w14:textId="77777777" w:rsidR="0023625F" w:rsidRDefault="0023625F" w:rsidP="0023625F"/>
    <w:p w14:paraId="576EBB27" w14:textId="77777777" w:rsidR="0023625F" w:rsidRDefault="0023625F" w:rsidP="0023625F"/>
    <w:sectPr w:rsidR="00236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B0038"/>
    <w:multiLevelType w:val="multilevel"/>
    <w:tmpl w:val="4124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B0878"/>
    <w:multiLevelType w:val="multilevel"/>
    <w:tmpl w:val="195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52"/>
    <w:rsid w:val="00093C30"/>
    <w:rsid w:val="00201C51"/>
    <w:rsid w:val="0023625F"/>
    <w:rsid w:val="004E36B4"/>
    <w:rsid w:val="0060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D054"/>
  <w15:chartTrackingRefBased/>
  <w15:docId w15:val="{95C1324B-B885-4CAC-886F-018A70FA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25F"/>
    <w:pPr>
      <w:outlineLvl w:val="0"/>
    </w:pPr>
    <w:rPr>
      <w:b/>
      <w:sz w:val="28"/>
    </w:rPr>
  </w:style>
  <w:style w:type="paragraph" w:styleId="Heading3">
    <w:name w:val="heading 3"/>
    <w:basedOn w:val="Normal"/>
    <w:next w:val="Normal"/>
    <w:link w:val="Heading3Char"/>
    <w:uiPriority w:val="9"/>
    <w:semiHidden/>
    <w:unhideWhenUsed/>
    <w:qFormat/>
    <w:rsid w:val="002362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362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25F"/>
    <w:rPr>
      <w:b/>
      <w:sz w:val="28"/>
    </w:rPr>
  </w:style>
  <w:style w:type="character" w:customStyle="1" w:styleId="Heading3Char">
    <w:name w:val="Heading 3 Char"/>
    <w:basedOn w:val="DefaultParagraphFont"/>
    <w:link w:val="Heading3"/>
    <w:uiPriority w:val="9"/>
    <w:semiHidden/>
    <w:rsid w:val="0023625F"/>
    <w:rPr>
      <w:rFonts w:asciiTheme="majorHAnsi" w:eastAsiaTheme="majorEastAsia" w:hAnsiTheme="majorHAnsi" w:cstheme="majorBidi"/>
      <w:color w:val="1F3763" w:themeColor="accent1" w:themeShade="7F"/>
      <w:sz w:val="24"/>
      <w:szCs w:val="24"/>
    </w:rPr>
  </w:style>
  <w:style w:type="paragraph" w:customStyle="1" w:styleId="ng-star-inserted">
    <w:name w:val="ng-star-inserted"/>
    <w:basedOn w:val="Normal"/>
    <w:rsid w:val="002362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2362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3625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446974">
      <w:bodyDiv w:val="1"/>
      <w:marLeft w:val="0"/>
      <w:marRight w:val="0"/>
      <w:marTop w:val="0"/>
      <w:marBottom w:val="0"/>
      <w:divBdr>
        <w:top w:val="none" w:sz="0" w:space="0" w:color="auto"/>
        <w:left w:val="none" w:sz="0" w:space="0" w:color="auto"/>
        <w:bottom w:val="none" w:sz="0" w:space="0" w:color="auto"/>
        <w:right w:val="none" w:sz="0" w:space="0" w:color="auto"/>
      </w:divBdr>
      <w:divsChild>
        <w:div w:id="1462259939">
          <w:marLeft w:val="0"/>
          <w:marRight w:val="0"/>
          <w:marTop w:val="240"/>
          <w:marBottom w:val="240"/>
          <w:divBdr>
            <w:top w:val="none" w:sz="0" w:space="0" w:color="auto"/>
            <w:left w:val="none" w:sz="0" w:space="0" w:color="auto"/>
            <w:bottom w:val="none" w:sz="0" w:space="0" w:color="auto"/>
            <w:right w:val="none" w:sz="0" w:space="0" w:color="auto"/>
          </w:divBdr>
        </w:div>
        <w:div w:id="584412845">
          <w:marLeft w:val="0"/>
          <w:marRight w:val="0"/>
          <w:marTop w:val="240"/>
          <w:marBottom w:val="240"/>
          <w:divBdr>
            <w:top w:val="none" w:sz="0" w:space="0" w:color="auto"/>
            <w:left w:val="none" w:sz="0" w:space="0" w:color="auto"/>
            <w:bottom w:val="none" w:sz="0" w:space="0" w:color="auto"/>
            <w:right w:val="none" w:sz="0" w:space="0" w:color="auto"/>
          </w:divBdr>
        </w:div>
      </w:divsChild>
    </w:div>
    <w:div w:id="819493941">
      <w:bodyDiv w:val="1"/>
      <w:marLeft w:val="0"/>
      <w:marRight w:val="0"/>
      <w:marTop w:val="0"/>
      <w:marBottom w:val="0"/>
      <w:divBdr>
        <w:top w:val="none" w:sz="0" w:space="0" w:color="auto"/>
        <w:left w:val="none" w:sz="0" w:space="0" w:color="auto"/>
        <w:bottom w:val="none" w:sz="0" w:space="0" w:color="auto"/>
        <w:right w:val="none" w:sz="0" w:space="0" w:color="auto"/>
      </w:divBdr>
    </w:div>
    <w:div w:id="114184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Patton</dc:creator>
  <cp:keywords/>
  <dc:description/>
  <cp:lastModifiedBy>Patton, Jason@DOC</cp:lastModifiedBy>
  <cp:revision>2</cp:revision>
  <dcterms:created xsi:type="dcterms:W3CDTF">2019-07-06T09:29:00Z</dcterms:created>
  <dcterms:modified xsi:type="dcterms:W3CDTF">2019-07-06T09:31:00Z</dcterms:modified>
</cp:coreProperties>
</file>